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670" w:right="-142"/>
        <w:spacing w:after="0" w:line="260" w:lineRule="exact"/>
        <w:tabs>
          <w:tab w:val="left" w:pos="5245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1</w:t>
      </w:r>
      <w:r>
        <w:rPr>
          <w:rFonts w:ascii="Times New Roman" w:hAnsi="Times New Roman"/>
          <w:sz w:val="28"/>
          <w:szCs w:val="28"/>
          <w:vertAlign w:val="superscript"/>
        </w:rPr>
        <w:t xml:space="preserve">2</w:t>
      </w:r>
      <w:r>
        <w:rPr>
          <w:rFonts w:ascii="Times New Roman" w:hAnsi="Times New Roman"/>
          <w:sz w:val="28"/>
          <w:szCs w:val="28"/>
        </w:rPr>
        <w:t xml:space="preserve"> к приказу</w:t>
      </w:r>
      <w:r/>
    </w:p>
    <w:p>
      <w:pPr>
        <w:ind w:left="5670" w:right="-142"/>
        <w:spacing w:after="0" w:line="260" w:lineRule="exact"/>
        <w:tabs>
          <w:tab w:val="left" w:pos="5245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министерства образования </w:t>
      </w:r>
      <w:r/>
    </w:p>
    <w:p>
      <w:pPr>
        <w:ind w:left="5670" w:right="-142"/>
        <w:spacing w:after="0" w:line="260" w:lineRule="exact"/>
        <w:tabs>
          <w:tab w:val="left" w:pos="5245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Ставропольского края </w:t>
      </w:r>
      <w:r/>
    </w:p>
    <w:p>
      <w:pPr>
        <w:ind w:left="5670" w:right="-142"/>
        <w:spacing w:after="0" w:line="260" w:lineRule="exact"/>
        <w:tabs>
          <w:tab w:val="left" w:pos="5245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23.11.2023 г. № 2009-пр</w:t>
      </w:r>
      <w:r/>
    </w:p>
    <w:p>
      <w:pPr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jc w:val="center"/>
        <w:spacing w:after="0" w:line="240" w:lineRule="exact"/>
        <w:shd w:val="clear" w:color="auto" w:fill="ffffff"/>
        <w:rPr>
          <w:rFonts w:ascii="Times New Roman" w:hAnsi="Times New Roman" w:eastAsia="Times New Roman"/>
          <w:cap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Cs/>
          <w:color w:val="000000"/>
          <w:sz w:val="28"/>
          <w:szCs w:val="28"/>
          <w:lang w:eastAsia="ru-RU"/>
        </w:rPr>
        <w:t xml:space="preserve">М</w:t>
      </w:r>
      <w:r>
        <w:rPr>
          <w:rFonts w:ascii="Times New Roman" w:hAnsi="Times New Roman" w:eastAsia="Times New Roman"/>
          <w:bCs/>
          <w:color w:val="000000"/>
          <w:sz w:val="28"/>
          <w:szCs w:val="28"/>
          <w:lang w:eastAsia="ru-RU"/>
        </w:rPr>
        <w:t xml:space="preserve">инимальны</w:t>
      </w:r>
      <w:r>
        <w:rPr>
          <w:rFonts w:ascii="Times New Roman" w:hAnsi="Times New Roman" w:eastAsia="Times New Roman"/>
          <w:bCs/>
          <w:color w:val="000000"/>
          <w:sz w:val="28"/>
          <w:szCs w:val="28"/>
          <w:lang w:eastAsia="ru-RU"/>
        </w:rPr>
        <w:t xml:space="preserve">е</w:t>
      </w:r>
      <w:r>
        <w:rPr>
          <w:rFonts w:ascii="Times New Roman" w:hAnsi="Times New Roman" w:eastAsia="Times New Roman"/>
          <w:bCs/>
          <w:color w:val="000000"/>
          <w:sz w:val="28"/>
          <w:szCs w:val="28"/>
          <w:lang w:eastAsia="ru-RU"/>
        </w:rPr>
        <w:t xml:space="preserve"> индикатор</w:t>
      </w:r>
      <w:r>
        <w:rPr>
          <w:rFonts w:ascii="Times New Roman" w:hAnsi="Times New Roman" w:eastAsia="Times New Roman"/>
          <w:bCs/>
          <w:color w:val="000000"/>
          <w:sz w:val="28"/>
          <w:szCs w:val="28"/>
          <w:lang w:eastAsia="ru-RU"/>
        </w:rPr>
        <w:t xml:space="preserve">ы</w:t>
      </w:r>
      <w:r>
        <w:rPr>
          <w:rFonts w:ascii="Times New Roman" w:hAnsi="Times New Roman" w:eastAsia="Times New Roman"/>
          <w:bCs/>
          <w:color w:val="000000"/>
          <w:sz w:val="28"/>
          <w:szCs w:val="28"/>
          <w:lang w:eastAsia="ru-RU"/>
        </w:rPr>
        <w:t xml:space="preserve"> и показател</w:t>
      </w:r>
      <w:r>
        <w:rPr>
          <w:rFonts w:ascii="Times New Roman" w:hAnsi="Times New Roman" w:eastAsia="Times New Roman"/>
          <w:bCs/>
          <w:color w:val="000000"/>
          <w:sz w:val="28"/>
          <w:szCs w:val="28"/>
          <w:lang w:eastAsia="ru-RU"/>
        </w:rPr>
        <w:t xml:space="preserve">и</w:t>
      </w:r>
      <w:r>
        <w:rPr>
          <w:rFonts w:ascii="Times New Roman" w:hAnsi="Times New Roman" w:eastAsia="Times New Roman"/>
          <w:bCs/>
          <w:color w:val="000000"/>
          <w:sz w:val="28"/>
          <w:szCs w:val="28"/>
          <w:lang w:eastAsia="ru-RU"/>
        </w:rPr>
        <w:t xml:space="preserve"> реализации мероприятий по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созданию и функци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«Точка роста»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br/>
        <w:t xml:space="preserve">в 2024 году</w:t>
      </w:r>
      <w:r/>
    </w:p>
    <w:p>
      <w:pPr>
        <w:jc w:val="center"/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</w:r>
      <w:r/>
    </w:p>
    <w:tbl>
      <w:tblPr>
        <w:tblW w:w="9356" w:type="dxa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261"/>
        <w:gridCol w:w="1735"/>
        <w:gridCol w:w="1417"/>
        <w:gridCol w:w="2518"/>
      </w:tblGrid>
      <w:tr>
        <w:trPr>
          <w:trHeight w:val="1680"/>
        </w:trPr>
        <w:tc>
          <w:tcPr>
            <w:tcW w:w="425" w:type="dxa"/>
            <w:vAlign w:val="center"/>
            <w:textDirection w:val="lrTb"/>
            <w:noWrap w:val="false"/>
          </w:tcPr>
          <w:p>
            <w:pPr>
              <w:ind w:left="-150" w:right="-117"/>
              <w:jc w:val="center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п/п</w:t>
            </w:r>
            <w:r/>
          </w:p>
        </w:tc>
        <w:tc>
          <w:tcPr>
            <w:tcW w:w="3261" w:type="dxa"/>
            <w:vAlign w:val="center"/>
            <w:textDirection w:val="lrTb"/>
            <w:noWrap w:val="false"/>
          </w:tcPr>
          <w:p>
            <w:pPr>
              <w:ind w:right="-82"/>
              <w:jc w:val="center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/>
          </w:p>
          <w:p>
            <w:pPr>
              <w:ind w:right="-82"/>
              <w:jc w:val="center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</w:t>
            </w:r>
            <w:r>
              <w:rPr>
                <w:rFonts w:ascii="Times New Roman" w:hAnsi="Times New Roman"/>
                <w:sz w:val="28"/>
                <w:szCs w:val="28"/>
              </w:rPr>
              <w:br w:type="textWrapping" w:clear="all"/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индикатора</w:t>
            </w:r>
            <w:r/>
          </w:p>
          <w:p>
            <w:pPr>
              <w:ind w:right="-82"/>
              <w:jc w:val="center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/>
          </w:p>
        </w:tc>
        <w:tc>
          <w:tcPr>
            <w:tcW w:w="173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Минимальное</w:t>
            </w:r>
            <w:r/>
          </w:p>
          <w:p>
            <w:pPr>
              <w:jc w:val="center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значение в год для</w:t>
            </w:r>
            <w:r/>
          </w:p>
          <w:p>
            <w:pPr>
              <w:jc w:val="center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общеобразовательных</w:t>
            </w:r>
            <w:r/>
          </w:p>
          <w:p>
            <w:pPr>
              <w:jc w:val="center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организаций, не</w:t>
            </w:r>
            <w:r/>
          </w:p>
          <w:p>
            <w:pPr>
              <w:jc w:val="center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являющихся</w:t>
            </w:r>
            <w:r/>
          </w:p>
          <w:p>
            <w:pPr>
              <w:jc w:val="center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малокомплектными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Минимальное</w:t>
            </w:r>
            <w:r/>
          </w:p>
          <w:p>
            <w:pPr>
              <w:jc w:val="center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значение в год для</w:t>
            </w:r>
            <w:r/>
          </w:p>
          <w:p>
            <w:pPr>
              <w:jc w:val="center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малокомплектных</w:t>
            </w:r>
            <w:r/>
          </w:p>
          <w:p>
            <w:pPr>
              <w:jc w:val="center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общеобразовательных</w:t>
            </w:r>
            <w:r/>
          </w:p>
          <w:p>
            <w:pPr>
              <w:ind w:left="-114" w:right="-102"/>
              <w:jc w:val="center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организаций</w:t>
            </w:r>
            <w:r/>
          </w:p>
        </w:tc>
        <w:tc>
          <w:tcPr>
            <w:tcW w:w="25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Методика расчета</w:t>
            </w:r>
            <w:r/>
          </w:p>
          <w:p>
            <w:pPr>
              <w:jc w:val="center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минимального</w:t>
            </w:r>
            <w:r/>
          </w:p>
          <w:p>
            <w:pPr>
              <w:jc w:val="center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показателя в целом по муниципалитету, в год</w:t>
            </w:r>
            <w:r/>
          </w:p>
        </w:tc>
      </w:tr>
      <w:tr>
        <w:trPr/>
        <w:tc>
          <w:tcPr>
            <w:tcBorders>
              <w:bottom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</w:t>
            </w:r>
            <w:r/>
          </w:p>
        </w:tc>
        <w:tc>
          <w:tcPr>
            <w:tcBorders>
              <w:bottom w:val="single" w:color="000000" w:sz="4" w:space="0"/>
            </w:tcBorders>
            <w:tcW w:w="32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/>
          </w:p>
        </w:tc>
        <w:tc>
          <w:tcPr>
            <w:tcBorders>
              <w:bottom w:val="single" w:color="000000" w:sz="4" w:space="0"/>
            </w:tcBorders>
            <w:tcW w:w="17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/>
          </w:p>
        </w:tc>
        <w:tc>
          <w:tcPr>
            <w:tcBorders>
              <w:bottom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</w:t>
            </w:r>
            <w:r/>
          </w:p>
        </w:tc>
        <w:tc>
          <w:tcPr>
            <w:tcBorders>
              <w:bottom w:val="single" w:color="000000" w:sz="4" w:space="0"/>
            </w:tcBorders>
            <w:tcW w:w="25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</w:t>
            </w:r>
            <w:r/>
          </w:p>
        </w:tc>
      </w:tr>
      <w:tr>
        <w:trPr>
          <w:trHeight w:val="25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677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27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677"/>
              <w:ind w:left="0" w:right="-108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textDirection w:val="lrTb"/>
            <w:noWrap w:val="false"/>
          </w:tcPr>
          <w:p>
            <w:pPr>
              <w:ind w:right="34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</w:t>
            </w:r>
            <w:r/>
          </w:p>
          <w:p>
            <w:pPr>
              <w:ind w:right="34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предметы», «Естественные науки», «Математика и информатика», «Обществознание и естествознание», «Технология»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(или) курсы внеурочной деятельности общеинтеллектуальной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направленности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использованием средств обучения и воспитания Центра «Точка роста» (человек)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656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7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1722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Сумма значений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показателя по всем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общеобразовательным организациям, на базе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которых создаются центры в 2024 году</w:t>
            </w:r>
            <w:r/>
          </w:p>
        </w:tc>
      </w:tr>
      <w:tr>
        <w:trPr>
          <w:trHeight w:val="4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677"/>
              <w:ind w:left="0" w:right="-108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textDirection w:val="lrTb"/>
            <w:noWrap w:val="false"/>
          </w:tcPr>
          <w:p>
            <w:pPr>
              <w:pStyle w:val="678"/>
              <w:ind w:right="34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ис-пользованием средств обучения и воспитания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Центра «Точка роста»</w:t>
            </w:r>
            <w:bookmarkStart w:id="0" w:name="_GoBack"/>
            <w:r/>
            <w:bookmarkEnd w:id="0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 (человек)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7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550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Сумма значений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показателя по всем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общеобразовательным организациям, на базе которых создаются центры в 2024 году</w:t>
            </w:r>
            <w:r/>
          </w:p>
        </w:tc>
      </w:tr>
      <w:tr>
        <w:trPr>
          <w:trHeight w:val="19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677"/>
              <w:ind w:left="0" w:right="-108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Доля педагогических работников центра «Точка роста», прошедших обучение по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программам из реестра программ повышения квалификации федерального оператора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(%)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7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textDirection w:val="lrTb"/>
            <w:noWrap w:val="false"/>
          </w:tcPr>
          <w:p>
            <w:pPr>
              <w:pStyle w:val="67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100</w:t>
            </w:r>
            <w:r/>
          </w:p>
        </w:tc>
      </w:tr>
    </w:tbl>
    <w:p>
      <w:r/>
      <w:r/>
    </w:p>
    <w:p>
      <w:pPr>
        <w:ind w:left="-567"/>
        <w:jc w:val="both"/>
        <w:spacing w:after="0" w:line="240" w:lineRule="exac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1418" w:right="567" w:bottom="1134" w:left="1985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7"/>
      <w:jc w:val="right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  \* MERGEFORMAT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2</w:t>
    </w:r>
    <w:r>
      <w:rPr>
        <w:rFonts w:ascii="Times New Roman" w:hAnsi="Times New Roman"/>
        <w:sz w:val="28"/>
      </w:rPr>
      <w:fldChar w:fldCharType="end"/>
    </w:r>
    <w:r/>
  </w:p>
  <w:p>
    <w:pPr>
      <w:pStyle w:val="68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65"/>
    <w:link w:val="656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65"/>
    <w:link w:val="657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65"/>
    <w:link w:val="658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65"/>
    <w:link w:val="659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65"/>
    <w:link w:val="660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65"/>
    <w:link w:val="661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65"/>
    <w:link w:val="66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65"/>
    <w:link w:val="663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65"/>
    <w:link w:val="664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65"/>
    <w:link w:val="679"/>
    <w:uiPriority w:val="10"/>
    <w:rPr>
      <w:sz w:val="48"/>
      <w:szCs w:val="48"/>
    </w:rPr>
  </w:style>
  <w:style w:type="character" w:styleId="37">
    <w:name w:val="Subtitle Char"/>
    <w:basedOn w:val="665"/>
    <w:link w:val="681"/>
    <w:uiPriority w:val="11"/>
    <w:rPr>
      <w:sz w:val="24"/>
      <w:szCs w:val="24"/>
    </w:rPr>
  </w:style>
  <w:style w:type="character" w:styleId="39">
    <w:name w:val="Quote Char"/>
    <w:link w:val="683"/>
    <w:uiPriority w:val="29"/>
    <w:rPr>
      <w:i/>
    </w:rPr>
  </w:style>
  <w:style w:type="character" w:styleId="41">
    <w:name w:val="Intense Quote Char"/>
    <w:link w:val="685"/>
    <w:uiPriority w:val="30"/>
    <w:rPr>
      <w:i/>
    </w:rPr>
  </w:style>
  <w:style w:type="character" w:styleId="179">
    <w:name w:val="Endnote Text Char"/>
    <w:link w:val="823"/>
    <w:uiPriority w:val="99"/>
    <w:rPr>
      <w:sz w:val="20"/>
    </w:rPr>
  </w:style>
  <w:style w:type="paragraph" w:styleId="655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656">
    <w:name w:val="Heading 1"/>
    <w:basedOn w:val="655"/>
    <w:next w:val="655"/>
    <w:link w:val="668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57">
    <w:name w:val="Heading 2"/>
    <w:basedOn w:val="655"/>
    <w:next w:val="655"/>
    <w:link w:val="669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58">
    <w:name w:val="Heading 3"/>
    <w:basedOn w:val="655"/>
    <w:next w:val="655"/>
    <w:link w:val="670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59">
    <w:name w:val="Heading 4"/>
    <w:basedOn w:val="655"/>
    <w:next w:val="655"/>
    <w:link w:val="671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0">
    <w:name w:val="Heading 5"/>
    <w:basedOn w:val="655"/>
    <w:next w:val="655"/>
    <w:link w:val="672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1">
    <w:name w:val="Heading 6"/>
    <w:basedOn w:val="655"/>
    <w:next w:val="655"/>
    <w:link w:val="673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62">
    <w:name w:val="Heading 7"/>
    <w:basedOn w:val="655"/>
    <w:next w:val="655"/>
    <w:link w:val="674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63">
    <w:name w:val="Heading 8"/>
    <w:basedOn w:val="655"/>
    <w:next w:val="655"/>
    <w:link w:val="675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64">
    <w:name w:val="Heading 9"/>
    <w:basedOn w:val="655"/>
    <w:next w:val="655"/>
    <w:link w:val="676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5" w:default="1">
    <w:name w:val="Default Paragraph Font"/>
    <w:uiPriority w:val="1"/>
    <w:semiHidden/>
    <w:unhideWhenUsed/>
  </w:style>
  <w:style w:type="table" w:styleId="6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7" w:default="1">
    <w:name w:val="No List"/>
    <w:uiPriority w:val="99"/>
    <w:semiHidden/>
    <w:unhideWhenUsed/>
  </w:style>
  <w:style w:type="character" w:styleId="668" w:customStyle="1">
    <w:name w:val="Заголовок 1 Знак"/>
    <w:link w:val="656"/>
    <w:uiPriority w:val="9"/>
    <w:rPr>
      <w:rFonts w:ascii="Arial" w:hAnsi="Arial" w:eastAsia="Arial" w:cs="Arial"/>
      <w:sz w:val="40"/>
      <w:szCs w:val="40"/>
    </w:rPr>
  </w:style>
  <w:style w:type="character" w:styleId="669" w:customStyle="1">
    <w:name w:val="Заголовок 2 Знак"/>
    <w:link w:val="657"/>
    <w:uiPriority w:val="9"/>
    <w:rPr>
      <w:rFonts w:ascii="Arial" w:hAnsi="Arial" w:eastAsia="Arial" w:cs="Arial"/>
      <w:sz w:val="34"/>
    </w:rPr>
  </w:style>
  <w:style w:type="character" w:styleId="670" w:customStyle="1">
    <w:name w:val="Заголовок 3 Знак"/>
    <w:link w:val="658"/>
    <w:uiPriority w:val="9"/>
    <w:rPr>
      <w:rFonts w:ascii="Arial" w:hAnsi="Arial" w:eastAsia="Arial" w:cs="Arial"/>
      <w:sz w:val="30"/>
      <w:szCs w:val="30"/>
    </w:rPr>
  </w:style>
  <w:style w:type="character" w:styleId="671" w:customStyle="1">
    <w:name w:val="Заголовок 4 Знак"/>
    <w:link w:val="659"/>
    <w:uiPriority w:val="9"/>
    <w:rPr>
      <w:rFonts w:ascii="Arial" w:hAnsi="Arial" w:eastAsia="Arial" w:cs="Arial"/>
      <w:b/>
      <w:bCs/>
      <w:sz w:val="26"/>
      <w:szCs w:val="26"/>
    </w:rPr>
  </w:style>
  <w:style w:type="character" w:styleId="672" w:customStyle="1">
    <w:name w:val="Заголовок 5 Знак"/>
    <w:link w:val="660"/>
    <w:uiPriority w:val="9"/>
    <w:rPr>
      <w:rFonts w:ascii="Arial" w:hAnsi="Arial" w:eastAsia="Arial" w:cs="Arial"/>
      <w:b/>
      <w:bCs/>
      <w:sz w:val="24"/>
      <w:szCs w:val="24"/>
    </w:rPr>
  </w:style>
  <w:style w:type="character" w:styleId="673" w:customStyle="1">
    <w:name w:val="Заголовок 6 Знак"/>
    <w:link w:val="661"/>
    <w:uiPriority w:val="9"/>
    <w:rPr>
      <w:rFonts w:ascii="Arial" w:hAnsi="Arial" w:eastAsia="Arial" w:cs="Arial"/>
      <w:b/>
      <w:bCs/>
      <w:sz w:val="22"/>
      <w:szCs w:val="22"/>
    </w:rPr>
  </w:style>
  <w:style w:type="character" w:styleId="674" w:customStyle="1">
    <w:name w:val="Заголовок 7 Знак"/>
    <w:link w:val="66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5" w:customStyle="1">
    <w:name w:val="Заголовок 8 Знак"/>
    <w:link w:val="663"/>
    <w:uiPriority w:val="9"/>
    <w:rPr>
      <w:rFonts w:ascii="Arial" w:hAnsi="Arial" w:eastAsia="Arial" w:cs="Arial"/>
      <w:i/>
      <w:iCs/>
      <w:sz w:val="22"/>
      <w:szCs w:val="22"/>
    </w:rPr>
  </w:style>
  <w:style w:type="character" w:styleId="676" w:customStyle="1">
    <w:name w:val="Заголовок 9 Знак"/>
    <w:link w:val="664"/>
    <w:uiPriority w:val="9"/>
    <w:rPr>
      <w:rFonts w:ascii="Arial" w:hAnsi="Arial" w:eastAsia="Arial" w:cs="Arial"/>
      <w:i/>
      <w:iCs/>
      <w:sz w:val="21"/>
      <w:szCs w:val="21"/>
    </w:rPr>
  </w:style>
  <w:style w:type="paragraph" w:styleId="677">
    <w:name w:val="List Paragraph"/>
    <w:basedOn w:val="655"/>
    <w:uiPriority w:val="34"/>
    <w:qFormat/>
    <w:pPr>
      <w:contextualSpacing/>
      <w:ind w:left="720"/>
    </w:pPr>
  </w:style>
  <w:style w:type="paragraph" w:styleId="678">
    <w:name w:val="No Spacing"/>
    <w:uiPriority w:val="1"/>
    <w:qFormat/>
    <w:rPr>
      <w:sz w:val="22"/>
      <w:szCs w:val="22"/>
      <w:lang w:eastAsia="en-US"/>
    </w:rPr>
  </w:style>
  <w:style w:type="paragraph" w:styleId="679">
    <w:name w:val="Title"/>
    <w:basedOn w:val="655"/>
    <w:next w:val="655"/>
    <w:link w:val="680"/>
    <w:uiPriority w:val="10"/>
    <w:qFormat/>
    <w:pPr>
      <w:contextualSpacing/>
      <w:spacing w:before="300"/>
    </w:pPr>
    <w:rPr>
      <w:sz w:val="48"/>
      <w:szCs w:val="48"/>
    </w:rPr>
  </w:style>
  <w:style w:type="character" w:styleId="680" w:customStyle="1">
    <w:name w:val="Заголовок Знак"/>
    <w:link w:val="679"/>
    <w:uiPriority w:val="10"/>
    <w:rPr>
      <w:sz w:val="48"/>
      <w:szCs w:val="48"/>
    </w:rPr>
  </w:style>
  <w:style w:type="paragraph" w:styleId="681">
    <w:name w:val="Subtitle"/>
    <w:basedOn w:val="655"/>
    <w:next w:val="655"/>
    <w:link w:val="682"/>
    <w:uiPriority w:val="11"/>
    <w:qFormat/>
    <w:pPr>
      <w:spacing w:before="200"/>
    </w:pPr>
    <w:rPr>
      <w:sz w:val="24"/>
      <w:szCs w:val="24"/>
    </w:rPr>
  </w:style>
  <w:style w:type="character" w:styleId="682" w:customStyle="1">
    <w:name w:val="Подзаголовок Знак"/>
    <w:link w:val="681"/>
    <w:uiPriority w:val="11"/>
    <w:rPr>
      <w:sz w:val="24"/>
      <w:szCs w:val="24"/>
    </w:rPr>
  </w:style>
  <w:style w:type="paragraph" w:styleId="683">
    <w:name w:val="Quote"/>
    <w:basedOn w:val="655"/>
    <w:next w:val="655"/>
    <w:link w:val="684"/>
    <w:uiPriority w:val="29"/>
    <w:qFormat/>
    <w:pPr>
      <w:ind w:left="720" w:right="720"/>
    </w:pPr>
    <w:rPr>
      <w:i/>
    </w:rPr>
  </w:style>
  <w:style w:type="character" w:styleId="684" w:customStyle="1">
    <w:name w:val="Цитата 2 Знак"/>
    <w:link w:val="683"/>
    <w:uiPriority w:val="29"/>
    <w:rPr>
      <w:i/>
    </w:rPr>
  </w:style>
  <w:style w:type="paragraph" w:styleId="685">
    <w:name w:val="Intense Quote"/>
    <w:basedOn w:val="655"/>
    <w:next w:val="655"/>
    <w:link w:val="68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6" w:customStyle="1">
    <w:name w:val="Выделенная цитата Знак"/>
    <w:link w:val="685"/>
    <w:uiPriority w:val="30"/>
    <w:rPr>
      <w:i/>
    </w:rPr>
  </w:style>
  <w:style w:type="paragraph" w:styleId="687">
    <w:name w:val="Header"/>
    <w:basedOn w:val="655"/>
    <w:link w:val="83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88" w:customStyle="1">
    <w:name w:val="Header Char"/>
    <w:uiPriority w:val="99"/>
  </w:style>
  <w:style w:type="paragraph" w:styleId="689">
    <w:name w:val="Footer"/>
    <w:basedOn w:val="655"/>
    <w:link w:val="83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0" w:customStyle="1">
    <w:name w:val="Footer Char"/>
    <w:uiPriority w:val="99"/>
  </w:style>
  <w:style w:type="paragraph" w:styleId="691">
    <w:name w:val="Caption"/>
    <w:basedOn w:val="655"/>
    <w:next w:val="655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692" w:customStyle="1">
    <w:name w:val="Caption Char"/>
    <w:uiPriority w:val="99"/>
  </w:style>
  <w:style w:type="table" w:styleId="693">
    <w:name w:val="Table Grid"/>
    <w:basedOn w:val="666"/>
    <w:uiPriority w:val="59"/>
    <w:tblPr/>
  </w:style>
  <w:style w:type="table" w:styleId="694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23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24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25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26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27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28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30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31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32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33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34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35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6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37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38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39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40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1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2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7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58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59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60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61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62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63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9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0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1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2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3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4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5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86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87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88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89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90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9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9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0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1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2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3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4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5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6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7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8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9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0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1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2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3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14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15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16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17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18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19">
    <w:name w:val="Hyperlink"/>
    <w:uiPriority w:val="99"/>
    <w:unhideWhenUsed/>
    <w:rPr>
      <w:color w:val="0000ff" w:themeColor="hyperlink"/>
      <w:u w:val="single"/>
    </w:rPr>
  </w:style>
  <w:style w:type="paragraph" w:styleId="820">
    <w:name w:val="footnote text"/>
    <w:basedOn w:val="655"/>
    <w:link w:val="841"/>
    <w:uiPriority w:val="99"/>
    <w:semiHidden/>
    <w:unhideWhenUsed/>
    <w:pPr>
      <w:spacing w:after="0" w:line="240" w:lineRule="auto"/>
    </w:pPr>
    <w:rPr>
      <w:rFonts w:ascii="Times New Roman" w:hAnsi="Times New Roman" w:eastAsia="Times New Roman"/>
      <w:sz w:val="20"/>
      <w:szCs w:val="20"/>
      <w:lang w:eastAsia="ru-RU"/>
    </w:rPr>
  </w:style>
  <w:style w:type="character" w:styleId="821" w:customStyle="1">
    <w:name w:val="Footnote Text Char"/>
    <w:uiPriority w:val="99"/>
    <w:rPr>
      <w:sz w:val="18"/>
    </w:rPr>
  </w:style>
  <w:style w:type="character" w:styleId="822">
    <w:name w:val="footnote reference"/>
    <w:uiPriority w:val="99"/>
    <w:semiHidden/>
    <w:unhideWhenUsed/>
    <w:rPr>
      <w:vertAlign w:val="superscript"/>
    </w:rPr>
  </w:style>
  <w:style w:type="paragraph" w:styleId="823">
    <w:name w:val="endnote text"/>
    <w:basedOn w:val="655"/>
    <w:link w:val="824"/>
    <w:uiPriority w:val="99"/>
    <w:semiHidden/>
    <w:unhideWhenUsed/>
    <w:pPr>
      <w:spacing w:after="0" w:line="240" w:lineRule="auto"/>
    </w:pPr>
    <w:rPr>
      <w:sz w:val="20"/>
    </w:rPr>
  </w:style>
  <w:style w:type="character" w:styleId="824" w:customStyle="1">
    <w:name w:val="Текст концевой сноски Знак"/>
    <w:link w:val="823"/>
    <w:uiPriority w:val="99"/>
    <w:rPr>
      <w:sz w:val="20"/>
    </w:rPr>
  </w:style>
  <w:style w:type="character" w:styleId="825">
    <w:name w:val="endnote reference"/>
    <w:uiPriority w:val="99"/>
    <w:semiHidden/>
    <w:unhideWhenUsed/>
    <w:rPr>
      <w:vertAlign w:val="superscript"/>
    </w:rPr>
  </w:style>
  <w:style w:type="paragraph" w:styleId="826">
    <w:name w:val="toc 1"/>
    <w:basedOn w:val="655"/>
    <w:next w:val="655"/>
    <w:uiPriority w:val="39"/>
    <w:unhideWhenUsed/>
    <w:pPr>
      <w:spacing w:after="57"/>
    </w:pPr>
  </w:style>
  <w:style w:type="paragraph" w:styleId="827">
    <w:name w:val="toc 2"/>
    <w:basedOn w:val="655"/>
    <w:next w:val="655"/>
    <w:uiPriority w:val="39"/>
    <w:unhideWhenUsed/>
    <w:pPr>
      <w:ind w:left="283"/>
      <w:spacing w:after="57"/>
    </w:pPr>
  </w:style>
  <w:style w:type="paragraph" w:styleId="828">
    <w:name w:val="toc 3"/>
    <w:basedOn w:val="655"/>
    <w:next w:val="655"/>
    <w:uiPriority w:val="39"/>
    <w:unhideWhenUsed/>
    <w:pPr>
      <w:ind w:left="567"/>
      <w:spacing w:after="57"/>
    </w:pPr>
  </w:style>
  <w:style w:type="paragraph" w:styleId="829">
    <w:name w:val="toc 4"/>
    <w:basedOn w:val="655"/>
    <w:next w:val="655"/>
    <w:uiPriority w:val="39"/>
    <w:unhideWhenUsed/>
    <w:pPr>
      <w:ind w:left="850"/>
      <w:spacing w:after="57"/>
    </w:pPr>
  </w:style>
  <w:style w:type="paragraph" w:styleId="830">
    <w:name w:val="toc 5"/>
    <w:basedOn w:val="655"/>
    <w:next w:val="655"/>
    <w:uiPriority w:val="39"/>
    <w:unhideWhenUsed/>
    <w:pPr>
      <w:ind w:left="1134"/>
      <w:spacing w:after="57"/>
    </w:pPr>
  </w:style>
  <w:style w:type="paragraph" w:styleId="831">
    <w:name w:val="toc 6"/>
    <w:basedOn w:val="655"/>
    <w:next w:val="655"/>
    <w:uiPriority w:val="39"/>
    <w:unhideWhenUsed/>
    <w:pPr>
      <w:ind w:left="1417"/>
      <w:spacing w:after="57"/>
    </w:pPr>
  </w:style>
  <w:style w:type="paragraph" w:styleId="832">
    <w:name w:val="toc 7"/>
    <w:basedOn w:val="655"/>
    <w:next w:val="655"/>
    <w:uiPriority w:val="39"/>
    <w:unhideWhenUsed/>
    <w:pPr>
      <w:ind w:left="1701"/>
      <w:spacing w:after="57"/>
    </w:pPr>
  </w:style>
  <w:style w:type="paragraph" w:styleId="833">
    <w:name w:val="toc 8"/>
    <w:basedOn w:val="655"/>
    <w:next w:val="655"/>
    <w:uiPriority w:val="39"/>
    <w:unhideWhenUsed/>
    <w:pPr>
      <w:ind w:left="1984"/>
      <w:spacing w:after="57"/>
    </w:pPr>
  </w:style>
  <w:style w:type="paragraph" w:styleId="834">
    <w:name w:val="toc 9"/>
    <w:basedOn w:val="655"/>
    <w:next w:val="655"/>
    <w:uiPriority w:val="39"/>
    <w:unhideWhenUsed/>
    <w:pPr>
      <w:ind w:left="2268"/>
      <w:spacing w:after="57"/>
    </w:pPr>
  </w:style>
  <w:style w:type="paragraph" w:styleId="835">
    <w:name w:val="TOC Heading"/>
    <w:uiPriority w:val="39"/>
    <w:unhideWhenUsed/>
  </w:style>
  <w:style w:type="paragraph" w:styleId="836">
    <w:name w:val="table of figures"/>
    <w:basedOn w:val="655"/>
    <w:next w:val="655"/>
    <w:uiPriority w:val="99"/>
    <w:unhideWhenUsed/>
    <w:pPr>
      <w:spacing w:after="0"/>
    </w:pPr>
  </w:style>
  <w:style w:type="character" w:styleId="837" w:customStyle="1">
    <w:name w:val="Верхний колонтитул Знак"/>
    <w:basedOn w:val="665"/>
    <w:link w:val="687"/>
    <w:uiPriority w:val="99"/>
  </w:style>
  <w:style w:type="character" w:styleId="838" w:customStyle="1">
    <w:name w:val="Нижний колонтитул Знак"/>
    <w:basedOn w:val="665"/>
    <w:link w:val="689"/>
    <w:uiPriority w:val="99"/>
  </w:style>
  <w:style w:type="paragraph" w:styleId="839">
    <w:name w:val="Balloon Text"/>
    <w:basedOn w:val="655"/>
    <w:link w:val="84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40" w:customStyle="1">
    <w:name w:val="Текст выноски Знак"/>
    <w:link w:val="839"/>
    <w:uiPriority w:val="99"/>
    <w:semiHidden/>
    <w:rPr>
      <w:rFonts w:ascii="Tahoma" w:hAnsi="Tahoma" w:cs="Tahoma"/>
      <w:sz w:val="16"/>
      <w:szCs w:val="16"/>
    </w:rPr>
  </w:style>
  <w:style w:type="character" w:styleId="841" w:customStyle="1">
    <w:name w:val="Текст сноски Знак"/>
    <w:link w:val="820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42" w:customStyle="1">
    <w:name w:val="ConsPlusNormal"/>
    <w:pPr>
      <w:widowControl w:val="off"/>
    </w:pPr>
    <w:rPr>
      <w:rFonts w:eastAsia="Times New Roman" w:cs="Calibri"/>
      <w:sz w:val="22"/>
      <w:lang w:eastAsia="ru-RU"/>
    </w:rPr>
  </w:style>
  <w:style w:type="paragraph" w:styleId="843" w:customStyle="1">
    <w:name w:val="ConsPlusTitle"/>
    <w:pPr>
      <w:widowControl w:val="off"/>
    </w:pPr>
    <w:rPr>
      <w:rFonts w:eastAsia="Times New Roman" w:cs="Calibri"/>
      <w:b/>
      <w:sz w:val="22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Р7-Офис/7.3.3.220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Павел Сергеевич</dc:creator>
  <cp:revision>36</cp:revision>
  <dcterms:created xsi:type="dcterms:W3CDTF">2020-10-08T09:22:00Z</dcterms:created>
  <dcterms:modified xsi:type="dcterms:W3CDTF">2023-11-23T12:34:02Z</dcterms:modified>
  <cp:version>1048576</cp:version>
</cp:coreProperties>
</file>